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rPr>
          <w:rFonts w:hint="eastAsia" w:ascii="Nimbus Roman No9 L" w:hAnsi="Nimbus Roman No9 L" w:eastAsia="方正黑体简体" w:cs="Nimbus Roman No9 L"/>
          <w:b/>
          <w:bCs/>
          <w:sz w:val="32"/>
          <w:szCs w:val="32"/>
          <w:lang w:val="en-US" w:eastAsia="zh-CN"/>
        </w:rPr>
      </w:pPr>
      <w:r>
        <w:rPr>
          <w:rFonts w:hint="eastAsia" w:ascii="Nimbus Roman No9 L" w:hAnsi="Nimbus Roman No9 L" w:eastAsia="方正黑体简体" w:cs="Nimbus Roman No9 L"/>
          <w:b/>
          <w:bCs/>
          <w:sz w:val="32"/>
          <w:szCs w:val="32"/>
          <w:lang w:val="en-US" w:eastAsia="zh-CN"/>
        </w:rPr>
        <w:drawing>
          <wp:anchor distT="0" distB="0" distL="114300" distR="114300" simplePos="0" relativeHeight="251659264" behindDoc="1" locked="0" layoutInCell="1" allowOverlap="1">
            <wp:simplePos x="0" y="0"/>
            <wp:positionH relativeFrom="column">
              <wp:posOffset>-100330</wp:posOffset>
            </wp:positionH>
            <wp:positionV relativeFrom="paragraph">
              <wp:posOffset>299720</wp:posOffset>
            </wp:positionV>
            <wp:extent cx="1465580" cy="1440180"/>
            <wp:effectExtent l="0" t="0" r="1270" b="0"/>
            <wp:wrapNone/>
            <wp:docPr id="2" name="图片 2" descr="乡村振兴 中心章"/>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乡村振兴 中心章"/>
                    <pic:cNvPicPr>
                      <a:picLocks noChangeAspect="true"/>
                    </pic:cNvPicPr>
                  </pic:nvPicPr>
                  <pic:blipFill>
                    <a:blip r:embed="rId4"/>
                    <a:stretch>
                      <a:fillRect/>
                    </a:stretch>
                  </pic:blipFill>
                  <pic:spPr>
                    <a:xfrm>
                      <a:off x="0" y="0"/>
                      <a:ext cx="1465580" cy="1440180"/>
                    </a:xfrm>
                    <a:prstGeom prst="rect">
                      <a:avLst/>
                    </a:prstGeom>
                  </pic:spPr>
                </pic:pic>
              </a:graphicData>
            </a:graphic>
          </wp:anchor>
        </w:drawing>
      </w:r>
      <w:r>
        <w:rPr>
          <w:rFonts w:ascii="Nimbus Roman No9 L" w:hAnsi="Nimbus Roman No9 L" w:eastAsia="方正黑体简体" w:cs="Nimbus Roman No9 L"/>
          <w:b/>
          <w:bCs/>
          <w:sz w:val="32"/>
          <w:szCs w:val="32"/>
        </w:rPr>
        <w:t>附件</w:t>
      </w:r>
      <w:r>
        <w:rPr>
          <w:rFonts w:hint="eastAsia" w:ascii="Nimbus Roman No9 L" w:hAnsi="Nimbus Roman No9 L" w:eastAsia="方正黑体简体" w:cs="Nimbus Roman No9 L"/>
          <w:b/>
          <w:bCs/>
          <w:sz w:val="32"/>
          <w:szCs w:val="32"/>
          <w:lang w:val="en-US" w:eastAsia="zh-CN"/>
        </w:rPr>
        <w:t>1</w:t>
      </w:r>
    </w:p>
    <w:p>
      <w:pPr>
        <w:spacing w:line="578" w:lineRule="exact"/>
        <w:rPr>
          <w:rFonts w:ascii="Nimbus Roman No9 L" w:hAnsi="Nimbus Roman No9 L" w:eastAsia="方正黑体简体" w:cs="Nimbus Roman No9 L"/>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Nimbus Roman No9 L" w:hAnsi="Nimbus Roman No9 L" w:eastAsia="方正小标宋简体" w:cs="Nimbus Roman No9 L"/>
          <w:b/>
          <w:sz w:val="44"/>
          <w:szCs w:val="44"/>
          <w:lang w:eastAsia="zh-CN"/>
        </w:rPr>
      </w:pPr>
      <w:r>
        <w:rPr>
          <w:rFonts w:hint="eastAsia" w:ascii="Nimbus Roman No9 L" w:hAnsi="Nimbus Roman No9 L" w:eastAsia="方正小标宋简体" w:cs="Nimbus Roman No9 L"/>
          <w:b/>
          <w:sz w:val="36"/>
          <w:szCs w:val="36"/>
          <w:lang w:val="en-US" w:eastAsia="zh-CN"/>
        </w:rPr>
        <w:t>泸州市乡村振兴与新农教育研究</w:t>
      </w:r>
      <w:r>
        <w:rPr>
          <w:rFonts w:hint="default" w:ascii="Nimbus Roman No9 L" w:hAnsi="Nimbus Roman No9 L" w:eastAsia="方正小标宋简体" w:cs="Nimbus Roman No9 L"/>
          <w:b/>
          <w:sz w:val="36"/>
          <w:szCs w:val="36"/>
        </w:rPr>
        <w:t>中心</w:t>
      </w:r>
      <w:r>
        <w:rPr>
          <w:rFonts w:hint="default" w:ascii="Times New Roman" w:hAnsi="Times New Roman" w:eastAsia="方正小标宋简体" w:cs="Times New Roman"/>
          <w:b/>
          <w:sz w:val="36"/>
          <w:szCs w:val="36"/>
          <w:lang w:val="en-US" w:eastAsia="zh-CN"/>
        </w:rPr>
        <w:t>2026</w:t>
      </w:r>
      <w:r>
        <w:rPr>
          <w:rFonts w:hint="default" w:ascii="Nimbus Roman No9 L" w:hAnsi="Nimbus Roman No9 L" w:eastAsia="方正小标宋简体" w:cs="Nimbus Roman No9 L"/>
          <w:b/>
          <w:sz w:val="36"/>
          <w:szCs w:val="36"/>
        </w:rPr>
        <w:t>年度课题立项</w:t>
      </w:r>
      <w:r>
        <w:rPr>
          <w:rFonts w:hint="eastAsia" w:ascii="Nimbus Roman No9 L" w:hAnsi="Nimbus Roman No9 L" w:eastAsia="方正小标宋简体" w:cs="Nimbus Roman No9 L"/>
          <w:b/>
          <w:sz w:val="36"/>
          <w:szCs w:val="36"/>
          <w:lang w:eastAsia="zh-CN"/>
        </w:rPr>
        <w:t>名单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Nimbus Roman No9 L" w:hAnsi="Nimbus Roman No9 L" w:eastAsia="方正小标宋简体" w:cs="Nimbus Roman No9 L"/>
          <w:b/>
          <w:sz w:val="44"/>
          <w:szCs w:val="44"/>
          <w:lang w:val="en-US" w:eastAsia="zh-CN"/>
        </w:rPr>
      </w:pPr>
    </w:p>
    <w:tbl>
      <w:tblPr>
        <w:tblStyle w:val="6"/>
        <w:tblW w:w="15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6839"/>
        <w:gridCol w:w="2155"/>
        <w:gridCol w:w="1915"/>
        <w:gridCol w:w="3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kern w:val="0"/>
                <w:sz w:val="32"/>
                <w:szCs w:val="32"/>
                <w:lang w:val="en-US" w:eastAsia="zh-CN"/>
              </w:rPr>
            </w:pPr>
            <w:r>
              <w:rPr>
                <w:rFonts w:hint="eastAsia" w:ascii="方正黑体简体" w:hAnsi="方正黑体简体" w:eastAsia="方正黑体简体" w:cs="方正黑体简体"/>
                <w:b/>
                <w:bCs/>
                <w:kern w:val="0"/>
                <w:sz w:val="32"/>
                <w:szCs w:val="32"/>
                <w:lang w:val="en-US" w:eastAsia="zh-CN"/>
              </w:rPr>
              <w:t>序号</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kern w:val="0"/>
                <w:sz w:val="32"/>
                <w:szCs w:val="32"/>
                <w:lang w:val="en-US" w:eastAsia="zh-CN"/>
              </w:rPr>
            </w:pPr>
            <w:r>
              <w:rPr>
                <w:rFonts w:hint="eastAsia" w:ascii="方正黑体简体" w:hAnsi="方正黑体简体" w:eastAsia="方正黑体简体" w:cs="方正黑体简体"/>
                <w:b/>
                <w:bCs/>
                <w:kern w:val="0"/>
                <w:sz w:val="32"/>
                <w:szCs w:val="32"/>
                <w:lang w:val="en-US" w:eastAsia="zh-CN"/>
              </w:rPr>
              <w:t>项目名称</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kern w:val="0"/>
                <w:sz w:val="32"/>
                <w:szCs w:val="32"/>
                <w:lang w:val="en-US" w:eastAsia="zh-CN"/>
              </w:rPr>
            </w:pPr>
            <w:r>
              <w:rPr>
                <w:rFonts w:hint="eastAsia" w:ascii="方正黑体简体" w:hAnsi="方正黑体简体" w:eastAsia="方正黑体简体" w:cs="方正黑体简体"/>
                <w:b/>
                <w:bCs/>
                <w:kern w:val="0"/>
                <w:sz w:val="32"/>
                <w:szCs w:val="32"/>
                <w:lang w:val="en-US" w:eastAsia="zh-CN"/>
              </w:rPr>
              <w:t>课题编号</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kern w:val="0"/>
                <w:sz w:val="32"/>
                <w:szCs w:val="32"/>
                <w:lang w:val="en-US" w:eastAsia="zh-CN"/>
              </w:rPr>
            </w:pPr>
            <w:r>
              <w:rPr>
                <w:rFonts w:hint="eastAsia" w:ascii="方正黑体简体" w:hAnsi="方正黑体简体" w:eastAsia="方正黑体简体" w:cs="方正黑体简体"/>
                <w:b/>
                <w:bCs/>
                <w:kern w:val="0"/>
                <w:sz w:val="32"/>
                <w:szCs w:val="32"/>
                <w:lang w:val="en-US" w:eastAsia="zh-CN"/>
              </w:rPr>
              <w:t>课题负责人</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kern w:val="0"/>
                <w:sz w:val="32"/>
                <w:szCs w:val="32"/>
                <w:lang w:val="en-US" w:eastAsia="zh-CN"/>
              </w:rPr>
            </w:pPr>
            <w:r>
              <w:rPr>
                <w:rFonts w:hint="eastAsia" w:ascii="方正黑体简体" w:hAnsi="方正黑体简体" w:eastAsia="方正黑体简体" w:cs="方正黑体简体"/>
                <w:b/>
                <w:bCs/>
                <w:kern w:val="0"/>
                <w:sz w:val="32"/>
                <w:szCs w:val="32"/>
                <w:lang w:val="en-US" w:eastAsia="zh-CN"/>
              </w:rPr>
              <w:t>课题负责人所在单位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1</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泸州市县级行政审批制度服务乡村振兴适配性研究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SHSK202601</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卢鲸熹</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中国政法大学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eastAsia="zh-CN"/>
              </w:rPr>
            </w:pPr>
            <w:r>
              <w:rPr>
                <w:rFonts w:hint="default" w:ascii="Times New Roman" w:hAnsi="Times New Roman" w:eastAsia="方正仿宋简体" w:cs="Times New Roman"/>
                <w:b/>
                <w:bCs/>
                <w:kern w:val="0"/>
                <w:sz w:val="32"/>
                <w:szCs w:val="32"/>
                <w:lang w:val="en-US" w:eastAsia="zh-CN"/>
              </w:rPr>
              <w:t>2</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“悬浮”与“嵌入”之间：泸州“第一书记”嵌入农村基层治理的结构性困境与优化路径研究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SHSK202602</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李杰</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西华师范大学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eastAsia="zh-CN"/>
              </w:rPr>
            </w:pPr>
            <w:r>
              <w:rPr>
                <w:rFonts w:hint="default" w:ascii="Times New Roman" w:hAnsi="Times New Roman" w:eastAsia="方正仿宋简体" w:cs="Times New Roman"/>
                <w:b/>
                <w:bCs/>
                <w:kern w:val="0"/>
                <w:sz w:val="32"/>
                <w:szCs w:val="32"/>
                <w:lang w:val="en-US" w:eastAsia="zh-CN"/>
              </w:rPr>
              <w:t>3</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泸州新型职业农民技能迭代与教育培训体系重构的价值、困境与路径研究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SHSK202603</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张宇婷</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西华师范大学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eastAsia="zh-CN"/>
              </w:rPr>
            </w:pPr>
            <w:r>
              <w:rPr>
                <w:rFonts w:hint="default" w:ascii="Times New Roman" w:hAnsi="Times New Roman" w:eastAsia="方正仿宋简体" w:cs="Times New Roman"/>
                <w:b/>
                <w:bCs/>
                <w:kern w:val="0"/>
                <w:sz w:val="32"/>
                <w:szCs w:val="32"/>
                <w:lang w:val="en-US" w:eastAsia="zh-CN"/>
              </w:rPr>
              <w:t>4</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从“酒城匠人”到“数字新农人”：泸州非遗传承人的数字化转型与培育机制研究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SHSK202604</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陈静静</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eastAsia="zh-CN"/>
              </w:rPr>
            </w:pPr>
            <w:r>
              <w:rPr>
                <w:rFonts w:hint="default" w:ascii="Times New Roman" w:hAnsi="Times New Roman" w:eastAsia="方正仿宋简体" w:cs="Times New Roman"/>
                <w:b/>
                <w:bCs/>
                <w:kern w:val="0"/>
                <w:sz w:val="32"/>
                <w:szCs w:val="32"/>
                <w:lang w:val="en-US" w:eastAsia="zh-CN"/>
              </w:rPr>
              <w:t>5</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人工智能背景下直播电商赋能泸州特色农产品产业链提质增效路径研究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SHSK202605</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陈幸吉</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6</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泸州特色农业“低空经济+农产品产地智能检测与即时配送”应用场景开发研究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SHSK202606</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樊明哲</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Nimbus Roman No9 L" w:hAnsi="Nimbus Roman No9 L" w:eastAsia="方正黑体简体" w:cs="Nimbus Roman No9 L"/>
                <w:b/>
                <w:bCs/>
                <w:sz w:val="32"/>
                <w:szCs w:val="32"/>
                <w:lang w:val="en-US" w:eastAsia="zh-CN"/>
              </w:rPr>
              <w:drawing>
                <wp:anchor distT="0" distB="0" distL="114300" distR="114300" simplePos="0" relativeHeight="251660288" behindDoc="1" locked="0" layoutInCell="1" allowOverlap="1">
                  <wp:simplePos x="0" y="0"/>
                  <wp:positionH relativeFrom="column">
                    <wp:posOffset>-165100</wp:posOffset>
                  </wp:positionH>
                  <wp:positionV relativeFrom="paragraph">
                    <wp:posOffset>-650240</wp:posOffset>
                  </wp:positionV>
                  <wp:extent cx="1465580" cy="1440180"/>
                  <wp:effectExtent l="0" t="0" r="1270" b="0"/>
                  <wp:wrapNone/>
                  <wp:docPr id="4" name="图片 4" descr="乡村振兴 中心章"/>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乡村振兴 中心章"/>
                          <pic:cNvPicPr>
                            <a:picLocks noChangeAspect="true"/>
                          </pic:cNvPicPr>
                        </pic:nvPicPr>
                        <pic:blipFill>
                          <a:blip r:embed="rId4"/>
                          <a:stretch>
                            <a:fillRect/>
                          </a:stretch>
                        </pic:blipFill>
                        <pic:spPr>
                          <a:xfrm>
                            <a:off x="0" y="0"/>
                            <a:ext cx="1465580" cy="1440180"/>
                          </a:xfrm>
                          <a:prstGeom prst="rect">
                            <a:avLst/>
                          </a:prstGeom>
                        </pic:spPr>
                      </pic:pic>
                    </a:graphicData>
                  </a:graphic>
                </wp:anchor>
              </w:drawing>
            </w:r>
            <w:r>
              <w:rPr>
                <w:rFonts w:hint="default" w:ascii="Times New Roman" w:hAnsi="Times New Roman" w:eastAsia="方正仿宋简体" w:cs="Times New Roman"/>
                <w:b/>
                <w:bCs/>
                <w:kern w:val="0"/>
                <w:sz w:val="32"/>
                <w:szCs w:val="32"/>
                <w:lang w:val="en-US" w:eastAsia="zh-CN"/>
              </w:rPr>
              <w:t>7</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乡村文化振兴视域下泸州红色文化与乡土记忆的价值耦合及融合机制研究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SHSK202607</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何玉佩</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8</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政策效能转化视角下驻村帮扶的长效机制与路径优化研究——以泸州市“第一书记”实践为例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SHSK202608</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田勇</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9</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乡村文化振兴视域下泸州红色文化与乡土记忆的互嵌融合机制研究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SHSK202609</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王璟</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10</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乡土文化振兴视域下泸州红色文化与乡土记忆的融合路径探析</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SHSK202610</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先沁梅</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11</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推动乡史村史陈列馆建设,助推乡村振兴、乡风文明建设研究——以泸州地区为例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SHSK202611</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张少云</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12</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文旅融合背景下泸州红色文化、乡土记忆与乡村振兴三维耦合机制研究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SHSK202612</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罗小红</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成都大学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13</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智慧畜牧赋能泸州特色畜禽产业提质增效的机制与路径研究——基于荣昌猪大数据中心的经验借鉴</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SHSK202613</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冉津铭</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达州职业技术学院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14</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泸州特色农业“低空经济+”应用场景开发研究——以董允坝丘陵农旅融合区为例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SHSK202614</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刘雪</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四川财经职业学院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15</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AIGC驱动泸州乡村非遗IP的数字活化与国际传播机制研究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SHSK202615</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张清辉</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四川传媒学院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Nimbus Roman No9 L" w:hAnsi="Nimbus Roman No9 L" w:eastAsia="方正黑体简体" w:cs="Nimbus Roman No9 L"/>
                <w:b/>
                <w:bCs/>
                <w:sz w:val="32"/>
                <w:szCs w:val="32"/>
                <w:lang w:val="en-US" w:eastAsia="zh-CN"/>
              </w:rPr>
              <w:drawing>
                <wp:anchor distT="0" distB="0" distL="114300" distR="114300" simplePos="0" relativeHeight="251661312" behindDoc="1" locked="0" layoutInCell="1" allowOverlap="1">
                  <wp:simplePos x="0" y="0"/>
                  <wp:positionH relativeFrom="column">
                    <wp:posOffset>-175260</wp:posOffset>
                  </wp:positionH>
                  <wp:positionV relativeFrom="paragraph">
                    <wp:posOffset>-660400</wp:posOffset>
                  </wp:positionV>
                  <wp:extent cx="1465580" cy="1440180"/>
                  <wp:effectExtent l="0" t="0" r="1270" b="0"/>
                  <wp:wrapNone/>
                  <wp:docPr id="5" name="图片 5" descr="乡村振兴 中心章"/>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乡村振兴 中心章"/>
                          <pic:cNvPicPr>
                            <a:picLocks noChangeAspect="true"/>
                          </pic:cNvPicPr>
                        </pic:nvPicPr>
                        <pic:blipFill>
                          <a:blip r:embed="rId4"/>
                          <a:stretch>
                            <a:fillRect/>
                          </a:stretch>
                        </pic:blipFill>
                        <pic:spPr>
                          <a:xfrm>
                            <a:off x="0" y="0"/>
                            <a:ext cx="1465580" cy="1440180"/>
                          </a:xfrm>
                          <a:prstGeom prst="rect">
                            <a:avLst/>
                          </a:prstGeom>
                        </pic:spPr>
                      </pic:pic>
                    </a:graphicData>
                  </a:graphic>
                </wp:anchor>
              </w:drawing>
            </w:r>
            <w:r>
              <w:rPr>
                <w:rFonts w:hint="default" w:ascii="Times New Roman" w:hAnsi="Times New Roman" w:eastAsia="方正仿宋简体" w:cs="Times New Roman"/>
                <w:b/>
                <w:bCs/>
                <w:kern w:val="0"/>
                <w:sz w:val="32"/>
                <w:szCs w:val="32"/>
                <w:lang w:val="en-US" w:eastAsia="zh-CN"/>
              </w:rPr>
              <w:t>16</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四渡赤水红色文化带乡村发展研究——泸州叙永罗汉林“红色研学+生态康养”融合实践为例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SHSK202616</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王开澄</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四川工商学院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17</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泸州“低空经济+”特色农业融合应用场景开发与实践路径研究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SHSK202617</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杜静婷</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四川化工职业技术学院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18</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“农商文旅体康”融合赋能山区乡村振兴的校地协同路径研究——以叙永县摩尼镇为例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SHSK202618</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黄国英</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四川化工职业技术学院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19</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“森林四库”视域下合江县林下经济价值链堵点诊断与增收路径研究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SHSK202619</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李静</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四川化工职业技术学院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20</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乡村振兴人才梯队建设与党员先锋作用提升路径研究 —— 以泸州市乡村青年新农人培育为例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SHSK202620</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李克嵘</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四川化工职业技术学院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21</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数字技术驱动乡村文化产业创新研究——基于泸州非遗资源活化与IP构建</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SHSK202621</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宋春燕</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四川化工职业技术学院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22</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泸州“一村六员一主播”人才工程与新型职业农民技能链重塑研究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SHSK202622</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王渊</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四川化工职业技术学院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23</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数字赋能乡村文化产业创新路径研究—以泸州纳溪竹雕非遗活化与 IP 构建为例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SHSK202623</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肖恺林</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四川化工职业技术学院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24</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政策效能转化视域下驻村帮扶长效机制与路径优化—以泸州市叙永县金榜村“第一书记”为例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SHSK202624</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谢萍</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四川化工职业技术学院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Nimbus Roman No9 L" w:hAnsi="Nimbus Roman No9 L" w:eastAsia="方正黑体简体" w:cs="Nimbus Roman No9 L"/>
                <w:b/>
                <w:bCs/>
                <w:sz w:val="32"/>
                <w:szCs w:val="32"/>
                <w:lang w:val="en-US" w:eastAsia="zh-CN"/>
              </w:rPr>
              <w:drawing>
                <wp:anchor distT="0" distB="0" distL="114300" distR="114300" simplePos="0" relativeHeight="251662336" behindDoc="1" locked="0" layoutInCell="1" allowOverlap="1">
                  <wp:simplePos x="0" y="0"/>
                  <wp:positionH relativeFrom="column">
                    <wp:posOffset>-183515</wp:posOffset>
                  </wp:positionH>
                  <wp:positionV relativeFrom="paragraph">
                    <wp:posOffset>-629285</wp:posOffset>
                  </wp:positionV>
                  <wp:extent cx="1465580" cy="1440180"/>
                  <wp:effectExtent l="0" t="0" r="1270" b="0"/>
                  <wp:wrapNone/>
                  <wp:docPr id="7" name="图片 7" descr="乡村振兴 中心章"/>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乡村振兴 中心章"/>
                          <pic:cNvPicPr>
                            <a:picLocks noChangeAspect="true"/>
                          </pic:cNvPicPr>
                        </pic:nvPicPr>
                        <pic:blipFill>
                          <a:blip r:embed="rId4"/>
                          <a:stretch>
                            <a:fillRect/>
                          </a:stretch>
                        </pic:blipFill>
                        <pic:spPr>
                          <a:xfrm>
                            <a:off x="0" y="0"/>
                            <a:ext cx="1465580" cy="1440180"/>
                          </a:xfrm>
                          <a:prstGeom prst="rect">
                            <a:avLst/>
                          </a:prstGeom>
                        </pic:spPr>
                      </pic:pic>
                    </a:graphicData>
                  </a:graphic>
                </wp:anchor>
              </w:drawing>
            </w:r>
            <w:r>
              <w:rPr>
                <w:rFonts w:hint="default" w:ascii="Times New Roman" w:hAnsi="Times New Roman" w:eastAsia="方正仿宋简体" w:cs="Times New Roman"/>
                <w:b/>
                <w:bCs/>
                <w:kern w:val="0"/>
                <w:sz w:val="32"/>
                <w:szCs w:val="32"/>
                <w:lang w:val="en-US" w:eastAsia="zh-CN"/>
              </w:rPr>
              <w:t>25</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党建引领与财务赋能协同驱动的新型农村集体经济发展路径研究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SHSK202625</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余志洁</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四川化工职业技术学院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26</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“森林四库”理念下乡村生态产业发展的实现路径——以泸州林下经济为例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SHSK202626</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蔡云霄</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27</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数字技术驱动泸州非遗资源活态传承与乡村文化产业创新研究——以白酒文化为例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SHSK202627</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黄莺</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28</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乡村振兴人才梯队建设与党员先锋作用提升路径研究——以泸州“新农人”培育为例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SHSK202628</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刘钦燕</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29</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AI赋能泸酒文旅品牌振兴的法治保障研究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SHSK202629</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雷渝</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西南医科大学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30</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川南苗族花山节体育非遗数字活化路径与乡村产业融合机制研究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SHSK202630</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王皓蜀</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西南医科大学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31</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AIGC视域下乡村非遗IP知识产权保护与产业化路径研究——以泸州分水油纸伞为例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SHSK202631</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闫君卉</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西南医科大学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32</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乡土文化认同赋能乡村“信义治理”的机制研究——以泸州安民村新农教育为例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SHSK202632</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颜永容</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西南医科大学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33</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“数字技术驱动下红色档案赋能乡村文化阵地建设研究——以泸州市乡史馆与‘万档思政’融合实践为例”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SHSK202633</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张晨</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西南医科大学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Nimbus Roman No9 L" w:hAnsi="Nimbus Roman No9 L" w:eastAsia="方正黑体简体" w:cs="Nimbus Roman No9 L"/>
                <w:b/>
                <w:bCs/>
                <w:sz w:val="32"/>
                <w:szCs w:val="32"/>
                <w:lang w:val="en-US" w:eastAsia="zh-CN"/>
              </w:rPr>
              <w:drawing>
                <wp:anchor distT="0" distB="0" distL="114300" distR="114300" simplePos="0" relativeHeight="251663360" behindDoc="1" locked="0" layoutInCell="1" allowOverlap="1">
                  <wp:simplePos x="0" y="0"/>
                  <wp:positionH relativeFrom="column">
                    <wp:posOffset>-186055</wp:posOffset>
                  </wp:positionH>
                  <wp:positionV relativeFrom="paragraph">
                    <wp:posOffset>-684530</wp:posOffset>
                  </wp:positionV>
                  <wp:extent cx="1465580" cy="1440180"/>
                  <wp:effectExtent l="0" t="0" r="1270" b="0"/>
                  <wp:wrapNone/>
                  <wp:docPr id="8" name="图片 8" descr="乡村振兴 中心章"/>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乡村振兴 中心章"/>
                          <pic:cNvPicPr>
                            <a:picLocks noChangeAspect="true"/>
                          </pic:cNvPicPr>
                        </pic:nvPicPr>
                        <pic:blipFill>
                          <a:blip r:embed="rId4"/>
                          <a:stretch>
                            <a:fillRect/>
                          </a:stretch>
                        </pic:blipFill>
                        <pic:spPr>
                          <a:xfrm>
                            <a:off x="0" y="0"/>
                            <a:ext cx="1465580" cy="1440180"/>
                          </a:xfrm>
                          <a:prstGeom prst="rect">
                            <a:avLst/>
                          </a:prstGeom>
                        </pic:spPr>
                      </pic:pic>
                    </a:graphicData>
                  </a:graphic>
                </wp:anchor>
              </w:drawing>
            </w:r>
            <w:r>
              <w:rPr>
                <w:rFonts w:hint="default" w:ascii="Times New Roman" w:hAnsi="Times New Roman" w:eastAsia="方正仿宋简体" w:cs="Times New Roman"/>
                <w:b/>
                <w:bCs/>
                <w:kern w:val="0"/>
                <w:sz w:val="32"/>
                <w:szCs w:val="32"/>
                <w:lang w:val="en-US" w:eastAsia="zh-CN"/>
              </w:rPr>
              <w:t>34</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泸州竹产业“低空经济+”应用场景开发的法律规制研究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SHSK202634</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张嘉兴</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西南医科大学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35</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泸州市丘陵地区跨村联建助推集体经济发展的现实困境及对策建议</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SHSK202635</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杨怡宁</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中共都江堰市委党校（成都村政学院）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36</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制度调适视角下川南地区农机社会化服务适配机制与优化路径</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SHSK202636</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应寿英</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四川省农业科学院农业信息与农村经济研究所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37</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泸州特色农业“低空经济+”应用场景开发研究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SHSK202637</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朱轶轶</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四川省工业贸易学校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38</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基于产教融合的泸州新型职业农民技能迭代路径研究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SHSK202638</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李小波</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default" w:ascii="Times New Roman" w:hAnsi="Times New Roman" w:eastAsia="方正仿宋简体" w:cs="Times New Roman"/>
                <w:b/>
                <w:bCs/>
                <w:kern w:val="0"/>
                <w:sz w:val="32"/>
                <w:szCs w:val="32"/>
                <w:lang w:val="en-US" w:eastAsia="zh-CN"/>
              </w:rPr>
              <w:t>39</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数字赋能下泸州新农人无人植保机培训课程体系构建与实践研究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SHSK202639</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陈忠海</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40</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合江县农商文旅体康融合发展路径与富民产业培育机制研究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SHSK202640</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任道燕</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41</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党建引领乡村人才梯队建设与先锋作用提升研究 —— 以合江“新农人”为例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SHSK202641</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李燕</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42</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宠物经济赋能泸州农商文旅体康融合发展路径研究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SHSK202642</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彭琴</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43</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泸州市现代农牧产业园区建设人才需求分析与培养方略研究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SHSK202643</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杨洪森</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Nimbus Roman No9 L" w:hAnsi="Nimbus Roman No9 L" w:eastAsia="方正黑体简体" w:cs="Nimbus Roman No9 L"/>
                <w:b/>
                <w:bCs/>
                <w:sz w:val="32"/>
                <w:szCs w:val="32"/>
                <w:lang w:val="en-US" w:eastAsia="zh-CN"/>
              </w:rPr>
              <w:drawing>
                <wp:anchor distT="0" distB="0" distL="114300" distR="114300" simplePos="0" relativeHeight="251664384" behindDoc="1" locked="0" layoutInCell="1" allowOverlap="1">
                  <wp:simplePos x="0" y="0"/>
                  <wp:positionH relativeFrom="column">
                    <wp:posOffset>-174625</wp:posOffset>
                  </wp:positionH>
                  <wp:positionV relativeFrom="paragraph">
                    <wp:posOffset>-659765</wp:posOffset>
                  </wp:positionV>
                  <wp:extent cx="1465580" cy="1440180"/>
                  <wp:effectExtent l="0" t="0" r="1270" b="0"/>
                  <wp:wrapNone/>
                  <wp:docPr id="9" name="图片 9" descr="乡村振兴 中心章"/>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乡村振兴 中心章"/>
                          <pic:cNvPicPr>
                            <a:picLocks noChangeAspect="true"/>
                          </pic:cNvPicPr>
                        </pic:nvPicPr>
                        <pic:blipFill>
                          <a:blip r:embed="rId4"/>
                          <a:stretch>
                            <a:fillRect/>
                          </a:stretch>
                        </pic:blipFill>
                        <pic:spPr>
                          <a:xfrm>
                            <a:off x="0" y="0"/>
                            <a:ext cx="1465580" cy="1440180"/>
                          </a:xfrm>
                          <a:prstGeom prst="rect">
                            <a:avLst/>
                          </a:prstGeom>
                        </pic:spPr>
                      </pic:pic>
                    </a:graphicData>
                  </a:graphic>
                </wp:anchor>
              </w:drawing>
            </w:r>
            <w:r>
              <w:rPr>
                <w:rFonts w:hint="eastAsia" w:ascii="Times New Roman" w:hAnsi="Times New Roman" w:eastAsia="方正仿宋简体" w:cs="Times New Roman"/>
                <w:b/>
                <w:bCs/>
                <w:kern w:val="0"/>
                <w:sz w:val="32"/>
                <w:szCs w:val="32"/>
                <w:lang w:val="en-US" w:eastAsia="zh-CN"/>
              </w:rPr>
              <w:t>44</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乡村文化振兴视域下泸州红色文化与乡土记忆的融合机制研究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SHSK202644</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夏灿</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45</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AI 赋能泸州非遗安神香囊的数字化设计与宠物安抚功效量化评估</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SHSK202645</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Nimbus Roman No9 L" w:hAnsi="Nimbus Roman No9 L" w:eastAsia="方正仿宋简体" w:cs="Nimbus Roman No9 L"/>
                <w:b/>
                <w:bCs/>
                <w:kern w:val="0"/>
                <w:sz w:val="32"/>
                <w:szCs w:val="32"/>
                <w:lang w:val="en-US" w:eastAsia="zh-CN"/>
              </w:rPr>
              <w:t>李欢欢</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46</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数字技术驱动泸州非遗品牌活化与 IP 构建路径研究——以永兴诚“五比一”酱油为例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SHSK202646</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鲜沅蓉</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47</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泸州市生猪产业发展现状与对策研究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SHSK202647</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文辉强</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48</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泸州现代农业人才需求预测与培养方案优化研究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SHSK202648</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陈雄</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49</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乡村振兴背景下高校毕业生基层就业政策的实效评估与优化研究——以四川XX高校为例</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SHSK202649</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吴维</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四川三河职业学院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jc w:val="center"/>
        </w:trPr>
        <w:tc>
          <w:tcPr>
            <w:tcW w:w="968"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50</w:t>
            </w:r>
          </w:p>
        </w:tc>
        <w:tc>
          <w:tcPr>
            <w:tcW w:w="683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乡村文化振兴视域下红色文化与乡土记忆的融合机制研究</w:t>
            </w:r>
          </w:p>
        </w:tc>
        <w:tc>
          <w:tcPr>
            <w:tcW w:w="215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SHSK202650</w:t>
            </w:r>
          </w:p>
        </w:tc>
        <w:tc>
          <w:tcPr>
            <w:tcW w:w="191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龙锋锋</w:t>
            </w:r>
          </w:p>
        </w:tc>
        <w:tc>
          <w:tcPr>
            <w:tcW w:w="3425"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方正仿宋简体" w:cs="Nimbus Roman No9 L"/>
                <w:b/>
                <w:bCs/>
                <w:kern w:val="0"/>
                <w:sz w:val="32"/>
                <w:szCs w:val="32"/>
                <w:lang w:val="en-US" w:eastAsia="zh-CN"/>
              </w:rPr>
            </w:pPr>
            <w:r>
              <w:rPr>
                <w:rFonts w:hint="default" w:ascii="Nimbus Roman No9 L" w:hAnsi="Nimbus Roman No9 L" w:eastAsia="方正仿宋简体" w:cs="Nimbus Roman No9 L"/>
                <w:b/>
                <w:bCs/>
                <w:kern w:val="0"/>
                <w:sz w:val="32"/>
                <w:szCs w:val="32"/>
                <w:lang w:val="en-US" w:eastAsia="zh-CN"/>
              </w:rPr>
              <w:t>四川省合江县职业高级中学校</w:t>
            </w:r>
          </w:p>
        </w:tc>
      </w:tr>
    </w:tbl>
    <w:p>
      <w:pPr>
        <w:keepNext w:val="0"/>
        <w:keepLines w:val="0"/>
        <w:pageBreakBefore w:val="0"/>
        <w:widowControl/>
        <w:kinsoku/>
        <w:wordWrap/>
        <w:overflowPunct/>
        <w:topLinePunct w:val="0"/>
        <w:autoSpaceDE/>
        <w:autoSpaceDN/>
        <w:bidi w:val="0"/>
        <w:adjustRightInd/>
        <w:snapToGrid/>
        <w:spacing w:line="400" w:lineRule="exact"/>
        <w:jc w:val="center"/>
        <w:textAlignment w:val="center"/>
      </w:pPr>
    </w:p>
    <w:p>
      <w:pPr>
        <w:keepNext w:val="0"/>
        <w:keepLines w:val="0"/>
        <w:pageBreakBefore w:val="0"/>
        <w:widowControl/>
        <w:kinsoku/>
        <w:wordWrap/>
        <w:overflowPunct/>
        <w:topLinePunct w:val="0"/>
        <w:autoSpaceDE/>
        <w:autoSpaceDN/>
        <w:bidi w:val="0"/>
        <w:adjustRightInd/>
        <w:snapToGrid/>
        <w:spacing w:line="400" w:lineRule="exact"/>
        <w:jc w:val="center"/>
        <w:textAlignment w:val="center"/>
      </w:pPr>
    </w:p>
    <w:p>
      <w:pPr>
        <w:keepNext w:val="0"/>
        <w:keepLines w:val="0"/>
        <w:pageBreakBefore w:val="0"/>
        <w:widowControl/>
        <w:kinsoku/>
        <w:wordWrap/>
        <w:overflowPunct/>
        <w:topLinePunct w:val="0"/>
        <w:autoSpaceDE/>
        <w:autoSpaceDN/>
        <w:bidi w:val="0"/>
        <w:adjustRightInd/>
        <w:snapToGrid/>
        <w:spacing w:line="400" w:lineRule="exact"/>
        <w:jc w:val="center"/>
        <w:textAlignment w:val="cente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Nimbus Roman No9 L">
    <w:altName w:val="URW Bookman"/>
    <w:panose1 w:val="00000000000000000000"/>
    <w:charset w:val="00"/>
    <w:family w:val="auto"/>
    <w:pitch w:val="default"/>
    <w:sig w:usb0="00000000" w:usb1="00000000" w:usb2="00000000" w:usb3="00000000" w:csb0="0000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D0FA0"/>
    <w:rsid w:val="0AD6392F"/>
    <w:rsid w:val="0C43088F"/>
    <w:rsid w:val="102B41D0"/>
    <w:rsid w:val="15F64E85"/>
    <w:rsid w:val="165C73DE"/>
    <w:rsid w:val="1DDE36C2"/>
    <w:rsid w:val="299E4684"/>
    <w:rsid w:val="34D7164D"/>
    <w:rsid w:val="3A116A50"/>
    <w:rsid w:val="52552ABF"/>
    <w:rsid w:val="52FA40D5"/>
    <w:rsid w:val="57E84249"/>
    <w:rsid w:val="5C781F43"/>
    <w:rsid w:val="5CFF285C"/>
    <w:rsid w:val="5DC436B8"/>
    <w:rsid w:val="5DFFA9F8"/>
    <w:rsid w:val="5EA260D5"/>
    <w:rsid w:val="5FB65749"/>
    <w:rsid w:val="62607FFA"/>
    <w:rsid w:val="77C167FA"/>
    <w:rsid w:val="7B33555C"/>
    <w:rsid w:val="7BFCC6E3"/>
    <w:rsid w:val="7C6D071B"/>
    <w:rsid w:val="B5FF0A7D"/>
    <w:rsid w:val="E7FF6CFB"/>
    <w:rsid w:val="EBBE73AF"/>
    <w:rsid w:val="EEDFE9D0"/>
    <w:rsid w:val="F44FA7BB"/>
    <w:rsid w:val="FF5C4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2">
    <w:name w:val="Body Text"/>
    <w:basedOn w:val="1"/>
    <w:qFormat/>
    <w:uiPriority w:val="0"/>
    <w:pPr>
      <w:adjustRightInd w:val="0"/>
      <w:jc w:val="left"/>
      <w:textAlignment w:val="baseline"/>
    </w:pPr>
    <w:rPr>
      <w:rFonts w:hint="default"/>
      <w:sz w:val="21"/>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styleId="8">
    <w:name w:val="Strong"/>
    <w:qFormat/>
    <w:uiPriority w:val="0"/>
    <w:rPr>
      <w:b/>
    </w:rPr>
  </w:style>
  <w:style w:type="character" w:styleId="9">
    <w:name w:val="page number"/>
    <w:qFormat/>
    <w:uiPriority w:val="0"/>
  </w:style>
  <w:style w:type="character" w:styleId="10">
    <w:name w:val="FollowedHyperlink"/>
    <w:basedOn w:val="7"/>
    <w:qFormat/>
    <w:uiPriority w:val="0"/>
    <w:rPr>
      <w:color w:val="333333"/>
      <w:u w:val="none"/>
    </w:rPr>
  </w:style>
  <w:style w:type="paragraph" w:customStyle="1" w:styleId="11">
    <w:name w:val="BodyText"/>
    <w:basedOn w:val="1"/>
    <w:qFormat/>
    <w:uiPriority w:val="0"/>
    <w:pPr>
      <w:spacing w:after="120"/>
      <w:textAlignment w:val="baseline"/>
    </w:pPr>
    <w:rPr>
      <w:rFonts w:ascii="Calibri" w:hAnsi="Calibri"/>
    </w:rPr>
  </w:style>
  <w:style w:type="paragraph" w:customStyle="1" w:styleId="12">
    <w:name w:val="p_text_indent_2"/>
    <w:basedOn w:val="1"/>
    <w:qFormat/>
    <w:uiPriority w:val="0"/>
    <w:pPr>
      <w:ind w:firstLine="420"/>
      <w:jc w:val="left"/>
    </w:pPr>
    <w:rPr>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1582</Words>
  <Characters>1790</Characters>
  <Paragraphs>381</Paragraphs>
  <TotalTime>5</TotalTime>
  <ScaleCrop>false</ScaleCrop>
  <LinksUpToDate>false</LinksUpToDate>
  <CharactersWithSpaces>1850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2021-07-01T02:28:00Z</dcterms:created>
  <dc:creator>Administrator</dc:creator>
  <cp:lastModifiedBy>user</cp:lastModifiedBy>
  <cp:lastPrinted>2026-07-02T23:35:00Z</cp:lastPrinted>
  <dcterms:modified xsi:type="dcterms:W3CDTF">2026-07-15T10:33:02Z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C34C189F3F3949AB989EDCE20FB4D50A_13</vt:lpwstr>
  </property>
  <property fmtid="{D5CDD505-2E9C-101B-9397-08002B2CF9AE}" pid="4" name="commondata">
    <vt:lpwstr>eyJoZGlkIjoiZGM4YzEyMTI0ZGM2YzQ0OWM4YmM1YzJkYWYxMWIzZDQifQ==</vt:lpwstr>
  </property>
  <property fmtid="{D5CDD505-2E9C-101B-9397-08002B2CF9AE}" pid="5" name="KSOTemplateDocerSaveRecord">
    <vt:lpwstr>eyJoZGlkIjoiZjcwY2ExYjM0ZmU3MTYxOWYxMDE3MDNlNWFkZTk5MGQiLCJ1c2VySWQiOiI0MDEzMzMyMjYifQ==</vt:lpwstr>
  </property>
</Properties>
</file>